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C34C7">
        <w:rPr>
          <w:rFonts w:ascii="Times New Roman" w:hAnsi="Times New Roman"/>
          <w:b/>
          <w:sz w:val="20"/>
          <w:szCs w:val="20"/>
          <w:lang w:val="kk-KZ"/>
        </w:rPr>
        <w:t>2</w:t>
      </w:r>
      <w:r w:rsidR="002F6BD7">
        <w:rPr>
          <w:rFonts w:ascii="Times New Roman" w:hAnsi="Times New Roman"/>
          <w:b/>
          <w:sz w:val="20"/>
          <w:szCs w:val="20"/>
          <w:lang w:val="kk-KZ"/>
        </w:rPr>
        <w:t>8</w:t>
      </w:r>
      <w:r w:rsidR="00DC34C7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</w:t>
      </w:r>
      <w:r w:rsidR="004257B2">
        <w:rPr>
          <w:rFonts w:ascii="Times New Roman" w:hAnsi="Times New Roman"/>
          <w:sz w:val="18"/>
          <w:szCs w:val="18"/>
          <w:lang w:val="kk-KZ"/>
        </w:rPr>
        <w:t>9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2F6BD7">
        <w:rPr>
          <w:rFonts w:ascii="Times New Roman" w:hAnsi="Times New Roman"/>
          <w:b/>
          <w:sz w:val="18"/>
          <w:szCs w:val="18"/>
          <w:lang w:val="kk-KZ"/>
        </w:rPr>
        <w:t>4 маусым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2F6BD7">
        <w:rPr>
          <w:rFonts w:ascii="Times New Roman" w:hAnsi="Times New Roman"/>
          <w:b/>
          <w:sz w:val="18"/>
          <w:szCs w:val="18"/>
          <w:lang w:val="kk-KZ"/>
        </w:rPr>
        <w:t>4 маусым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2F6BD7">
        <w:rPr>
          <w:rFonts w:ascii="Times New Roman" w:hAnsi="Times New Roman"/>
          <w:b/>
          <w:sz w:val="18"/>
          <w:szCs w:val="18"/>
          <w:lang w:val="kk-KZ"/>
        </w:rPr>
        <w:t>7 маусым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2B5601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E7A11" w:rsidRDefault="0082653A" w:rsidP="001F589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Кортикалды</w:t>
            </w:r>
            <w:proofErr w:type="spellEnd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бұранда 2,0 мм ұзындығы 8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AB" w:rsidRPr="005C44AB" w:rsidRDefault="00AD1145" w:rsidP="005C44AB">
            <w:pPr>
              <w:spacing w:after="24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Кортикалды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бұранда. Бұранданың ұзындығы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кемінде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1.0 мм қадаммен 8-ден 20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мм-ге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дейін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құрауы тиіс</w:t>
            </w:r>
            <w:proofErr w:type="gram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.ш</w:t>
            </w:r>
            <w:proofErr w:type="gram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аршы-1,2 мм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Дайындау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Матери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лы: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имплантологияда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қолдануға рұқсат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етілген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инертті,БИОС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сыйысы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ды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және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диамагниттік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титан қорытпасы,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жас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операциядан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кейінгі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магнитті-резонанстық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томографияны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(МРТ) жүргізу мүмкіндігі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луы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тиіс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t xml:space="preserve"> 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Бұранданың басы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цилиндрлік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болуы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керек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. Бұранда аяқтарының барлық ұзындығына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gram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.Д</w:t>
            </w:r>
            <w:proofErr w:type="gram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айындау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материалы-титан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қорытпасы. Қорытпаның құрамы: көміртек 0,08% артық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емес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, ванадий 4,5% артық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емес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темір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0,3% артық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емес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, алюминий 6% артық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емес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, титан қалған</w:t>
            </w:r>
            <w:r w:rsidR="005C44AB" w:rsidRPr="005C44A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5C44AB" w:rsidRPr="005C44A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Бұйымдарды механикалық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жылтыр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ту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: қара, түпкілікті, </w:t>
            </w:r>
            <w:proofErr w:type="spell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ді</w:t>
            </w:r>
            <w:proofErr w:type="gram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ілді</w:t>
            </w:r>
            <w:proofErr w:type="spell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 xml:space="preserve"> өңдеу. Материал түсі </w:t>
            </w:r>
            <w:proofErr w:type="gramStart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AD1145">
              <w:rPr>
                <w:rFonts w:ascii="Times New Roman" w:hAnsi="Times New Roman"/>
                <w:bCs/>
                <w:sz w:val="20"/>
                <w:szCs w:val="20"/>
              </w:rPr>
              <w:t>ұр</w:t>
            </w:r>
            <w:r w:rsidR="005C44AB" w:rsidRPr="005C44AB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  <w:p w:rsidR="002B5601" w:rsidRPr="005C44AB" w:rsidRDefault="002B560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A715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E7A11" w:rsidRDefault="00A715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E7A11" w:rsidRDefault="00A715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E7A11" w:rsidRDefault="00026523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8615B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82653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Пластина </w:t>
            </w:r>
            <w:proofErr w:type="spellStart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L-пішінді</w:t>
            </w:r>
            <w:proofErr w:type="spellEnd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реко</w:t>
            </w:r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струкционная (шағын) (</w:t>
            </w:r>
            <w:proofErr w:type="spellStart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сол</w:t>
            </w:r>
            <w:proofErr w:type="spellEnd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жақ) 5 отв.- Ұзындығы-24 мм.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145" w:rsidRPr="00AD1145" w:rsidRDefault="00AD1145" w:rsidP="00AD11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L-тә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қайта құру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нысаны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бар.  Сүйектің ұсақ фрагменттерінің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остеосинтезіне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арналған</w:t>
            </w:r>
            <w:r w:rsidR="001D1B35"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Дайындау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материалы: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имплантологияда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қолдануға рұқсат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етілген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инертті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БИОС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сый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сымды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диамагниттік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титан қорытпасы,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оталау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кезеңінде (МРТ) жүргізу мүмкіндігі.</w:t>
            </w:r>
            <w:r>
              <w:t xml:space="preserve"> 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 түсі 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</w:t>
            </w:r>
          </w:p>
          <w:p w:rsidR="00AD1145" w:rsidRPr="00AD1145" w:rsidRDefault="00AD1145" w:rsidP="00AD11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Дайындау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материалы-титан</w:t>
            </w:r>
            <w:proofErr w:type="spellEnd"/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қорытпасы.</w:t>
            </w:r>
          </w:p>
          <w:p w:rsidR="001D1B35" w:rsidRPr="005C44AB" w:rsidRDefault="00AD1145" w:rsidP="00AD11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Қорытпаның құрамы: көміртек 0,08%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ванадий 4,5%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темі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0,3%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алюминий 6%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титан қалған</w:t>
            </w:r>
            <w:r w:rsidR="001D1B35"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D1145" w:rsidRPr="00AD1145" w:rsidRDefault="00AD1145" w:rsidP="00AD11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Бұйымдарды механикалық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жылтыр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қара, түпкілікті,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ді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ілді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өңдеу.</w:t>
            </w:r>
          </w:p>
          <w:p w:rsidR="001D1B35" w:rsidRPr="005C44AB" w:rsidRDefault="00AD1145" w:rsidP="00AD11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Қалыңдығы -1,0 мм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стиналар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оң және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 үшін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орынд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луы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тиіс</w:t>
            </w:r>
            <w:proofErr w:type="spellEnd"/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Пластинаның Ұзындығы 24-тен 37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мм-ге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дейін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тиіс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, 27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lastRenderedPageBreak/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8615B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82653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Пластина </w:t>
            </w:r>
            <w:proofErr w:type="spellStart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L-пішінді</w:t>
            </w:r>
            <w:proofErr w:type="spellEnd"/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реко</w:t>
            </w:r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2653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струкционная (шағын) (оң жақ) 5 отв. Ұзындығы-24 мм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5C44AB" w:rsidRDefault="001D1B35" w:rsidP="005C44A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AD11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Қайта құру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пластинасы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(шағын) 6 отв.Ұзындығы - 37 мм.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45" w:rsidRPr="00AD1145" w:rsidRDefault="00AD1145" w:rsidP="00AD114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Пластина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тікелей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қалпына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келтіру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нысаны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бар.  Сүйектердің ұсақ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фрагменттерін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остеосинте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арналған.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Дайындау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териалы: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имплантологияда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қолдануға 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ұқсат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етілген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инертті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БИОС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сыйысымды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диамагниттік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титан қорытпасы,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операциядан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кейінгі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кезеңде жүргізу мүмкіндігі (МРТ). Матер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ал түсі 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              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Дайындау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материалы-титан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қорытпасы. Қорытпаның құрамы: көміртегі 0,08%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ванадий 4,5%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темір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0,3%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алюминий 6%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титан қалған.</w:t>
            </w:r>
          </w:p>
          <w:p w:rsidR="001D1B35" w:rsidRPr="008E7A11" w:rsidRDefault="00AD1145" w:rsidP="00AD114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Бұйымдарды механикалық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жылтырату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қара, түпкілікті,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ді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ілді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өңдеу. Бұранда басының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2,0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мм-ден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кем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бұранда астындағы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тесік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Пластинаның қалыңдығы -1,0 мм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пластинаның Ұзындығы 24-тен 76 мм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дейін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AD11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Y-тә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ізді реко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струкционная (шағын) 5 отв. Ұзындығы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45" w:rsidRPr="00AD1145" w:rsidRDefault="00AD1145" w:rsidP="00AD114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Y-тә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ізді қайта құру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нысаны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бар. Сүйектердің ұсақ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фрагменттерін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остеосинте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арналған.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Дайындау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териалы: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имплантологияда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қолдануға рұқсат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етілген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инертті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БИОС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сыйысымды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диамагниттік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титан 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қорытпасы,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операциядан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кейінгі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кезеңде (МРТ) жүргізу мүмкіндігі. Мат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риал түсі 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Дайындау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материалы-титан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қорытпасы. Қорытпаның құрамы: көміртегі 0,08%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ванадий 4,5%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темір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0,3%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алюминий 6% артық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титан қалған.</w:t>
            </w:r>
          </w:p>
          <w:p w:rsidR="001D1B35" w:rsidRPr="008E7A11" w:rsidRDefault="00AD1145" w:rsidP="00AD114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Бұйымдарды механикалық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жылтырату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қара, түпкілікті,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ді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ілді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өңдеу. Пластинаның әрбі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сәулесінде бұранданың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басына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2,0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мм-ден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аспайтын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бұранда астындағы 2 дөңгелек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тесік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пла-Стина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қалыңдығы 1.0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мм-ден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аспайтын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іхана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lastRenderedPageBreak/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AD11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Т-тә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ізді қайта құру (шағын) 6 отв-Ұзындығы 24 мм.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EC0730" w:rsidRDefault="00F62E7E" w:rsidP="00EC073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Т-тә</w:t>
            </w:r>
            <w:proofErr w:type="gram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ізді қайта құру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нысаны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бар. Сүйектердің ұсақ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фрагменттерін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остеосинте</w:t>
            </w:r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арналған.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Дайындау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териалы: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имплантологияда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қолдануға </w:t>
            </w:r>
            <w:proofErr w:type="gram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ұқсат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етілген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инертті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БИОС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сыйысымды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диамагниттік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титан қорытпасы,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операциядан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кейінгі</w:t>
            </w:r>
            <w:proofErr w:type="spellEnd"/>
            <w:r w:rsidRPr="00F62E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кезеңде (МРТ) жүргізу мүмкіндігі.</w:t>
            </w:r>
            <w:r w:rsidR="001D1B35"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Бкз</w:t>
            </w:r>
          </w:p>
          <w:p w:rsidR="0083181D" w:rsidRPr="0083181D" w:rsidRDefault="0083181D" w:rsidP="0083181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Бұйымдарды тү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 таңбалау.</w:t>
            </w:r>
          </w:p>
          <w:p w:rsidR="001D1B35" w:rsidRPr="008E7A11" w:rsidRDefault="0083181D" w:rsidP="0083181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Дайындау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материалы-титан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қорытпасы. Қорытпаның құрамы: көміртегі 0,08% артық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ванадий 4,5% артық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темі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End"/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0,3% артық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алюминий 6% артық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титан қалған.</w:t>
            </w:r>
            <w:r>
              <w:t xml:space="preserve"> </w:t>
            </w: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Бұйымдарды механикалық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жылтырату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қара, түпкілікті,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ді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ілді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өңдеу. 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ұранданың басындағы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2,0 мм кем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пластина қалыңдығы 1.0 мм кем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1,0 мм артық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AD11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Сабы үшін бұрауыштар.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8318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Бұрағыш тұ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қасы тот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</w:t>
            </w: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пайтын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болаттан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жасалуы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құйрығының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астына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3,0 мм ұштығы бұрағыш тұтқасының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астына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кемінде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S 1,2 мм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диамет-ром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төрт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рет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қырлы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пішінді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 1,2 мм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квадратымен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кіші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бұрауыштың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астына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бұрау үшін және 1,2 мм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квадратымен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кіші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бұрауышқа арналған Цанг қысқышы бар материал түсі 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AD11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ұрауыш 1,2 мм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квадрат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кіші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бұрауыш бұрама үшін </w:t>
            </w:r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Цанг қысқышы бар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8318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Бұрауыш тот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баспайтын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болаттан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жасалуы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Бұрауыштың ұштары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1,2 мм кем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төрт қырлы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  </w:t>
            </w: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бұранда үшін Цанг қысқышы бар материал түсі 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lastRenderedPageBreak/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  <w:tr w:rsidR="001D1B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B35" w:rsidRPr="008E7A11" w:rsidRDefault="00AD11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Канюлденген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бұ</w:t>
            </w:r>
            <w:proofErr w:type="gram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ғы </w:t>
            </w:r>
            <w:proofErr w:type="spellStart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AD11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1,4 мм ұзындығы, 40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8318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Бұ</w:t>
            </w:r>
            <w:proofErr w:type="gram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ғы тот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баспайтын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бола</w:t>
            </w: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тан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жасалуы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83181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1B35" w:rsidRPr="008E7A11" w:rsidRDefault="001D1B3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15600,00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D1B35" w:rsidRPr="008E7A11" w:rsidRDefault="001D1B35" w:rsidP="00F95B2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2652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2652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026523">
              <w:rPr>
                <w:rFonts w:ascii="Times New Roman" w:hAnsi="Times New Roman"/>
                <w:sz w:val="18"/>
                <w:szCs w:val="18"/>
              </w:rPr>
              <w:t>, 30-60 жұмыс күні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6523" w:rsidRDefault="0002652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E09AC" w:rsidRDefault="005E09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B61344">
        <w:rPr>
          <w:rFonts w:ascii="Times New Roman" w:hAnsi="Times New Roman"/>
          <w:b/>
          <w:sz w:val="18"/>
          <w:szCs w:val="18"/>
          <w:lang w:val="kk-KZ"/>
        </w:rPr>
        <w:t>28 мая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</w:t>
      </w:r>
      <w:r w:rsidR="004257B2">
        <w:rPr>
          <w:rFonts w:ascii="Times New Roman" w:hAnsi="Times New Roman"/>
          <w:sz w:val="18"/>
          <w:szCs w:val="18"/>
        </w:rPr>
        <w:t>9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B61344">
        <w:rPr>
          <w:rFonts w:ascii="Times New Roman" w:hAnsi="Times New Roman"/>
          <w:b/>
          <w:sz w:val="18"/>
          <w:szCs w:val="18"/>
          <w:lang w:val="kk-KZ"/>
        </w:rPr>
        <w:t>4 июня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B61344">
        <w:rPr>
          <w:rFonts w:ascii="Times New Roman" w:hAnsi="Times New Roman"/>
          <w:b/>
          <w:sz w:val="18"/>
          <w:szCs w:val="18"/>
          <w:lang w:val="kk-KZ"/>
        </w:rPr>
        <w:t>4 июня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B61344">
        <w:rPr>
          <w:rFonts w:ascii="Times New Roman" w:hAnsi="Times New Roman"/>
          <w:b/>
          <w:sz w:val="18"/>
          <w:szCs w:val="18"/>
          <w:lang w:val="kk-KZ"/>
        </w:rPr>
        <w:t>7 июня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026523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23" w:rsidRPr="008E7A11" w:rsidRDefault="000265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23" w:rsidRPr="008E7A11" w:rsidRDefault="00026523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Винт корт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кальный 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 мм Длина 8 мм,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23" w:rsidRPr="005C44AB" w:rsidRDefault="00026523" w:rsidP="00F95B28">
            <w:pPr>
              <w:spacing w:after="240"/>
              <w:rPr>
                <w:rFonts w:ascii="Times New Roman" w:hAnsi="Times New Roman"/>
                <w:bCs/>
                <w:sz w:val="20"/>
                <w:szCs w:val="20"/>
              </w:rPr>
            </w:pP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Винт кортикальный. Диаметр винта должен быть не менее 2,0мм; Используется сверло 1,4 мм. Длина винта должна составлять от 8 до 20 мм с шагом по длине не м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нее 1.0 мм. Размер </w:t>
            </w:r>
            <w:proofErr w:type="spellStart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вн</w:t>
            </w:r>
            <w:proofErr w:type="gramStart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.к</w:t>
            </w:r>
            <w:proofErr w:type="gramEnd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вадрата</w:t>
            </w:r>
            <w:proofErr w:type="spellEnd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 – 1,2 мм Шляпка винта должна иметь  квадратный шлиц не менее S3,0мм. Мат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риал изготовления: инертный, </w:t>
            </w:r>
            <w:proofErr w:type="spellStart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биосовмест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мый</w:t>
            </w:r>
            <w:proofErr w:type="spellEnd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 и диамагнитный титановый сплав, разр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шённый к применению в </w:t>
            </w:r>
            <w:proofErr w:type="spellStart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имплантологии</w:t>
            </w:r>
            <w:proofErr w:type="spellEnd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, возмо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ность проведения в п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слеоперационном пери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де магнитно-резонансной томографии (МРТ). Г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ловка винта должна быть цилиндрическая. Резьба на всю длину ножки </w:t>
            </w:r>
            <w:proofErr w:type="spellStart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ви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та</w:t>
            </w:r>
            <w:proofErr w:type="gramStart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.М</w:t>
            </w:r>
            <w:proofErr w:type="gramEnd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атериал</w:t>
            </w:r>
            <w:proofErr w:type="spellEnd"/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 xml:space="preserve"> изготовл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ния - титановый сплав. Состав сплава: углерод не более 0,08%, ванадий не более 4,5%, железо не более 0,3%, алюминий не более 6%, титан остал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ное.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br/>
              <w:t>Полирование изделий механическое: черновое, окончательное, вибрац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t>онная обработка. Цвет материала серый</w:t>
            </w:r>
            <w:r w:rsidRPr="005C44AB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  <w:p w:rsidR="00026523" w:rsidRPr="005C44AB" w:rsidRDefault="00026523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23" w:rsidRPr="008E7A11" w:rsidRDefault="00026523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6523" w:rsidRPr="008E7A11" w:rsidRDefault="00026523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26523" w:rsidRPr="008E7A11" w:rsidRDefault="00026523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6523" w:rsidRPr="008E7A11" w:rsidRDefault="0002652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26523" w:rsidRPr="008E7A11" w:rsidRDefault="00026523" w:rsidP="00935D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L-образная р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конструкцио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ная (мини) (левая) 5 </w:t>
            </w:r>
            <w:proofErr w:type="spellStart"/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</w:t>
            </w:r>
            <w:proofErr w:type="gramStart"/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.-</w:t>
            </w:r>
            <w:proofErr w:type="gramEnd"/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длина</w:t>
            </w:r>
            <w:proofErr w:type="spellEnd"/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- 24 мм.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имеет L- о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разную реконструкти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ную  форму.  </w:t>
            </w:r>
            <w:proofErr w:type="gramStart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Предназн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чена</w:t>
            </w:r>
            <w:proofErr w:type="gramEnd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остесинтеза</w:t>
            </w:r>
            <w:proofErr w:type="spellEnd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мелких фрагментов ко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тей. Материал изгото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ления: инертный, </w:t>
            </w:r>
            <w:proofErr w:type="spellStart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биос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вместимый</w:t>
            </w:r>
            <w:proofErr w:type="spellEnd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диамагни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титановый сплав, разрешённый к примен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нию в </w:t>
            </w:r>
            <w:proofErr w:type="spellStart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имплантологии</w:t>
            </w:r>
            <w:proofErr w:type="spellEnd"/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возможность проведения в послеоперационном периоде магнитно-резонансной томографии (МРТ).</w:t>
            </w:r>
          </w:p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 материала серый</w:t>
            </w:r>
          </w:p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 изготовления - титановый сплав.</w:t>
            </w:r>
          </w:p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 сплава: углерод не более 0,08%, ванадий не более 4,5%, железо не более 0,3%, алюминий не более 6%, титан остал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ное.</w:t>
            </w:r>
          </w:p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Полирование изделий механическое: черновое, окончательное, вибрац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онная обработка.</w:t>
            </w:r>
          </w:p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 -1,0 мм Пл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стины должны быть в исполнении для правой и левой кости. Длина пл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C4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стины должна быть от 24 до 37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L-образная р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конструкцио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2C5B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 (мини) (правая)  5 отв. длина - 24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5C44AB" w:rsidRDefault="00424B3A" w:rsidP="00F95B2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р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конструкцио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 (мини)   6 отв</w:t>
            </w:r>
            <w:proofErr w:type="gramStart"/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лина - 37 мм.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Пластина имеет прямую реконструктивную форму.  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Предназначена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синтеза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мелких фрагментов костей. Материал изгото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ления: инертный,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биос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вместимый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диамагнитный титановый сплав, разр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шённый к применению в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имплантологии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возмо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ность проведения в посл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операционном периоде ма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нитно-резонансной том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графии (МРТ). Цвет мат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риала серый</w:t>
            </w:r>
          </w:p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 изготовления - титановый сплав. Состав сплава: углерод не более 0,08%, ванадий не более 4,5%, железо не более 0,3%, алюминий не более 6%, титан остальное.</w:t>
            </w:r>
          </w:p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Полирование изделий м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ханическое: черновое, окончательное, вибрацио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 обработка. Отверстия под винты диаметром на головке винта не менее 2,0 мм</w:t>
            </w:r>
          </w:p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Толщина пластины не более -1,0 мм  Длина пластины должна быть от 24 до 76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Y-образная р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конструкцио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 (мини)                    5 отв. Длина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имеет Y- Обра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ную реконструктивную форму. 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Предназначена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остесинтеза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мелких фра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ментов костей. Материал изготовления: инертный,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биосовместимый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диама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нитный титановый сплав, разрешённый к примен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нию в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имплантологии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во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можность проведения в послеоперационном пери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 магнитно-резонансной томографии (МРТ). Цвет материала серый</w:t>
            </w:r>
          </w:p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 изготовления - титановый сплав. Состав сплава: углерод не более 0,08%, ванадий не более 4,5%, железо не более 0,3%, алюминий не более 6%, титан остальное.</w:t>
            </w:r>
          </w:p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Полирование изделий м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ханическое: черновое, окончательное, вибрацио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 обработка. На каждом луче пластины должно быть расположено по 2 круглых отверстия под винты ди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метром на головке винта не более 2,0 мм, толщина пл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стины не более 1.0 мм. 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верстия под винты диаме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ром на головке винта не менее 2,0 мм. Длина пл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стины должна быть от 22 до 43 мм. Количество отве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стий в пластине должно быть от 5 до 8 отв.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Т-образная р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конструкцио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ная (мини)               6отв </w:t>
            </w:r>
            <w:proofErr w:type="gramStart"/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-Д</w:t>
            </w:r>
            <w:proofErr w:type="gramEnd"/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лина 24 мм.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Пластина имеет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- Обра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ную реконструктивную  форму. 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Предназначена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остесинтеза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мелких фра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ментов костей. Материал изготовления: инертный,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биосовместимый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диама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нитный титановый сплав, разрешённый к примен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нию в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имплантологии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во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можность проведения в послеоперационном пери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де магнитно-резонансной томографии (МРТ).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Бкз</w:t>
            </w:r>
            <w:proofErr w:type="spellEnd"/>
          </w:p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Цветовой маркировки изд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лий.</w:t>
            </w:r>
          </w:p>
          <w:p w:rsidR="00424B3A" w:rsidRPr="00EC0730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изготовления - титановый сплав. Состав сплава: углерод не более 0,08%, ванадий не более 4,5%, железо не более 0,3%, 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алюминий не более 6%, титан остальное.</w:t>
            </w:r>
          </w:p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Полирование изделий м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ханическое: черновое, окончательное, вибрацио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 обработка. Отверстия под винты диаметром на головке винта не менее 2,0 мм, толщина пластины не менее 1.0 мм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больше 1,0 мм.  Кол-во отверстий должно быть  от 3 до 8, длина пластины должна быть от 17до 38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Рукоятка для отвертки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Рукоятка для отвертки должна быть изготовлена из нержавеющей стали, Под хвостовик 3,0 мм  Наконе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ник под рукоятку для 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вертки должен быть чет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рехгранной формы диаме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ром не менее S 1,2мм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 отвертку малую с квадр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том 1,2 мм с цанговым з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жимом для винта и для 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вертки малой с квадратом 1,2 мм Цвет материала с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Отвертка малая с квадратом 1,2 мм с цанговым зажимом для винта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Отвертка должна быть и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готовлена из нержавеющей стали. Наконечник отвертки должен быть четырех </w:t>
            </w:r>
            <w:proofErr w:type="spell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диаметром не менее1,2 мм</w:t>
            </w:r>
            <w:proofErr w:type="gramStart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 цанговым зажимом для винта Цвет материала серый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  <w:tr w:rsidR="00424B3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Сверло </w:t>
            </w:r>
            <w:proofErr w:type="spellStart"/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кан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лированное</w:t>
            </w:r>
            <w:proofErr w:type="spellEnd"/>
            <w:r w:rsidRPr="00C4155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Диаметр, 1,4мм Длина, 40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Сверло должно быть изг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C07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товлено из нержавеющей стали.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15600,00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24B3A" w:rsidRPr="008E7A11" w:rsidRDefault="00424B3A" w:rsidP="00F95B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30-60 рабочих дней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6523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1B35"/>
    <w:rsid w:val="001F0088"/>
    <w:rsid w:val="001F589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C5B9D"/>
    <w:rsid w:val="002E401E"/>
    <w:rsid w:val="002F6BD7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4B3A"/>
    <w:rsid w:val="004257B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30459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C44AB"/>
    <w:rsid w:val="005E09AC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5CA7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53A"/>
    <w:rsid w:val="008267F5"/>
    <w:rsid w:val="0083181D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D9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715FD"/>
    <w:rsid w:val="00A85359"/>
    <w:rsid w:val="00AB65A1"/>
    <w:rsid w:val="00AB7666"/>
    <w:rsid w:val="00AC047A"/>
    <w:rsid w:val="00AD1145"/>
    <w:rsid w:val="00AE006A"/>
    <w:rsid w:val="00AE472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61344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155A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76C"/>
    <w:rsid w:val="00D21B83"/>
    <w:rsid w:val="00D24B4B"/>
    <w:rsid w:val="00D574B0"/>
    <w:rsid w:val="00D66863"/>
    <w:rsid w:val="00D67065"/>
    <w:rsid w:val="00D7051B"/>
    <w:rsid w:val="00D84E46"/>
    <w:rsid w:val="00D85FF6"/>
    <w:rsid w:val="00DA0D22"/>
    <w:rsid w:val="00DA4986"/>
    <w:rsid w:val="00DA4B96"/>
    <w:rsid w:val="00DB0087"/>
    <w:rsid w:val="00DB0F32"/>
    <w:rsid w:val="00DB7BFD"/>
    <w:rsid w:val="00DC34C7"/>
    <w:rsid w:val="00DD7CDE"/>
    <w:rsid w:val="00DE38F8"/>
    <w:rsid w:val="00E00912"/>
    <w:rsid w:val="00E17734"/>
    <w:rsid w:val="00E346AC"/>
    <w:rsid w:val="00E36C64"/>
    <w:rsid w:val="00E45A3C"/>
    <w:rsid w:val="00E556BF"/>
    <w:rsid w:val="00E63F24"/>
    <w:rsid w:val="00EC0730"/>
    <w:rsid w:val="00EE3ACA"/>
    <w:rsid w:val="00EE70AE"/>
    <w:rsid w:val="00F02BCE"/>
    <w:rsid w:val="00F07601"/>
    <w:rsid w:val="00F17A3D"/>
    <w:rsid w:val="00F17F97"/>
    <w:rsid w:val="00F315A5"/>
    <w:rsid w:val="00F32439"/>
    <w:rsid w:val="00F5095C"/>
    <w:rsid w:val="00F62E7E"/>
    <w:rsid w:val="00F72680"/>
    <w:rsid w:val="00F824F4"/>
    <w:rsid w:val="00F8538A"/>
    <w:rsid w:val="00F90591"/>
    <w:rsid w:val="00F962CC"/>
    <w:rsid w:val="00FA148D"/>
    <w:rsid w:val="00FB684A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8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244</cp:revision>
  <cp:lastPrinted>2019-02-11T07:45:00Z</cp:lastPrinted>
  <dcterms:created xsi:type="dcterms:W3CDTF">2018-04-25T07:36:00Z</dcterms:created>
  <dcterms:modified xsi:type="dcterms:W3CDTF">2019-05-28T03:10:00Z</dcterms:modified>
</cp:coreProperties>
</file>